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CE" w:rsidRDefault="00DE0011" w:rsidP="0053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На основу члана 43.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Закона о запошљавању и осигурању за случај незапослености</w:t>
      </w:r>
      <w:r w:rsidR="006C0DAE">
        <w:rPr>
          <w:rFonts w:ascii="Times New Roman" w:hAnsi="Times New Roman" w:cs="Times New Roman"/>
          <w:sz w:val="24"/>
          <w:szCs w:val="24"/>
        </w:rPr>
        <w:t xml:space="preserve"> („Сл. гласник РС“, бр. 36/09, </w:t>
      </w:r>
      <w:r w:rsidRPr="00EB308B">
        <w:rPr>
          <w:rFonts w:ascii="Times New Roman" w:hAnsi="Times New Roman" w:cs="Times New Roman"/>
          <w:sz w:val="24"/>
          <w:szCs w:val="24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Pr="00EB308B">
        <w:rPr>
          <w:rFonts w:ascii="Times New Roman" w:hAnsi="Times New Roman" w:cs="Times New Roman"/>
          <w:sz w:val="24"/>
          <w:szCs w:val="24"/>
        </w:rPr>
        <w:t>), члана 11.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3. Закона о професионалној рехабилитацији и запошљавању особа са инвалидитетом („Сл. гласник РС“, бр. 36/09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32/13</w:t>
      </w:r>
      <w:r w:rsidRPr="00EB308B">
        <w:rPr>
          <w:rFonts w:ascii="Times New Roman" w:hAnsi="Times New Roman" w:cs="Times New Roman"/>
          <w:sz w:val="24"/>
          <w:szCs w:val="24"/>
        </w:rPr>
        <w:t xml:space="preserve">) </w:t>
      </w:r>
      <w:r w:rsidR="005339CE">
        <w:rPr>
          <w:rFonts w:ascii="Times New Roman" w:hAnsi="Times New Roman"/>
          <w:sz w:val="24"/>
          <w:szCs w:val="24"/>
        </w:rPr>
        <w:t>и на основу одлуке Председника општине Житиште о усвајању Локалног плана запошљавања за 201</w:t>
      </w:r>
      <w:r w:rsidR="00A649C1">
        <w:rPr>
          <w:rFonts w:ascii="Times New Roman" w:hAnsi="Times New Roman"/>
          <w:sz w:val="24"/>
          <w:szCs w:val="24"/>
          <w:lang w:val="sr-Latn-RS"/>
        </w:rPr>
        <w:t>8</w:t>
      </w:r>
      <w:r w:rsidR="005339CE">
        <w:rPr>
          <w:rFonts w:ascii="Times New Roman" w:hAnsi="Times New Roman"/>
          <w:sz w:val="24"/>
          <w:szCs w:val="24"/>
        </w:rPr>
        <w:t xml:space="preserve">.годину </w:t>
      </w:r>
      <w:proofErr w:type="gramStart"/>
      <w:r w:rsidR="005339CE">
        <w:rPr>
          <w:rFonts w:ascii="Times New Roman" w:hAnsi="Times New Roman"/>
          <w:sz w:val="24"/>
          <w:szCs w:val="24"/>
        </w:rPr>
        <w:t xml:space="preserve">број </w:t>
      </w:r>
      <w:r w:rsidR="00D00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86F">
        <w:rPr>
          <w:rFonts w:ascii="Times New Roman" w:hAnsi="Times New Roman"/>
          <w:sz w:val="24"/>
          <w:szCs w:val="24"/>
          <w:lang w:val="sr-Latn-RS"/>
        </w:rPr>
        <w:t>II</w:t>
      </w:r>
      <w:proofErr w:type="gramEnd"/>
      <w:r w:rsidR="00D0086F">
        <w:rPr>
          <w:rFonts w:ascii="Times New Roman" w:hAnsi="Times New Roman"/>
          <w:sz w:val="24"/>
          <w:szCs w:val="24"/>
          <w:lang w:val="sr-Latn-RS"/>
        </w:rPr>
        <w:t>-101-1/2018</w:t>
      </w:r>
      <w:r w:rsidR="005339CE">
        <w:rPr>
          <w:rFonts w:ascii="Times New Roman" w:hAnsi="Times New Roman"/>
          <w:sz w:val="24"/>
          <w:szCs w:val="24"/>
        </w:rPr>
        <w:t xml:space="preserve"> од </w:t>
      </w:r>
      <w:r w:rsidR="00D0086F">
        <w:rPr>
          <w:rFonts w:ascii="Times New Roman" w:hAnsi="Times New Roman"/>
          <w:sz w:val="24"/>
          <w:szCs w:val="24"/>
          <w:lang w:val="sr-Latn-RS"/>
        </w:rPr>
        <w:t>30.01.2018</w:t>
      </w:r>
      <w:bookmarkStart w:id="0" w:name="_GoBack"/>
      <w:bookmarkEnd w:id="0"/>
      <w:r w:rsidR="005339CE">
        <w:rPr>
          <w:rFonts w:ascii="Times New Roman" w:hAnsi="Times New Roman"/>
          <w:sz w:val="24"/>
          <w:szCs w:val="24"/>
        </w:rPr>
        <w:t>.године</w:t>
      </w: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D6C" w:rsidRPr="00EB308B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8B">
        <w:rPr>
          <w:rFonts w:ascii="Times New Roman" w:hAnsi="Times New Roman" w:cs="Times New Roman"/>
          <w:b/>
          <w:bCs/>
          <w:sz w:val="32"/>
          <w:szCs w:val="32"/>
        </w:rPr>
        <w:t>ОПШТИНА ЖИТИШТЕ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Расписује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ЈАВНИ ПОЗИВ ПОСЛОДАВЦИМА ЗА ДОДЕЛУ СУБВЕНЦИЈЕ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ОТ</w:t>
      </w:r>
      <w:r w:rsidR="006C0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ВАРАЊЕ НОВИХ РАДНИХ МЕСТА У 201</w:t>
      </w:r>
      <w:r w:rsidR="00A64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ГОДИНИ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 ОСНОВНЕ ИНФОРМАЦИЈЕ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Субвенција за отварање нових радних места одобрава се послодавцима ради запошљавања незапослених лица која се воде на евиденцији Националне службе за запошљавање </w:t>
      </w:r>
      <w:r w:rsidR="00D11D6C" w:rsidRPr="00EB308B">
        <w:rPr>
          <w:rFonts w:ascii="Times New Roman" w:hAnsi="Times New Roman" w:cs="Times New Roman"/>
          <w:sz w:val="24"/>
          <w:szCs w:val="24"/>
        </w:rPr>
        <w:t xml:space="preserve">у испостави Житиште </w:t>
      </w:r>
      <w:r w:rsidRPr="00EB308B">
        <w:rPr>
          <w:rFonts w:ascii="Times New Roman" w:hAnsi="Times New Roman" w:cs="Times New Roman"/>
          <w:sz w:val="24"/>
          <w:szCs w:val="24"/>
        </w:rPr>
        <w:t>(у даљем тексту: Национална служба).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Висина субвенције</w:t>
      </w:r>
      <w:r w:rsidR="00F87442">
        <w:rPr>
          <w:rFonts w:ascii="Times New Roman" w:hAnsi="Times New Roman" w:cs="Times New Roman"/>
          <w:sz w:val="24"/>
          <w:szCs w:val="24"/>
        </w:rPr>
        <w:t xml:space="preserve"> износи 2</w:t>
      </w:r>
      <w:r w:rsidR="00D11D6C" w:rsidRPr="00EB308B">
        <w:rPr>
          <w:rFonts w:ascii="Times New Roman" w:hAnsi="Times New Roman" w:cs="Times New Roman"/>
          <w:sz w:val="24"/>
          <w:szCs w:val="24"/>
        </w:rPr>
        <w:t xml:space="preserve">00.000,00 динара по </w:t>
      </w:r>
      <w:r w:rsidR="005339CE">
        <w:rPr>
          <w:rFonts w:ascii="Times New Roman" w:hAnsi="Times New Roman" w:cs="Times New Roman"/>
          <w:sz w:val="24"/>
          <w:szCs w:val="24"/>
        </w:rPr>
        <w:t xml:space="preserve">ново </w:t>
      </w:r>
      <w:r w:rsidR="00D11D6C" w:rsidRPr="00EB308B">
        <w:rPr>
          <w:rFonts w:ascii="Times New Roman" w:hAnsi="Times New Roman" w:cs="Times New Roman"/>
          <w:sz w:val="24"/>
          <w:szCs w:val="24"/>
        </w:rPr>
        <w:t>запосленом лицу.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Default="006619E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Послодавац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011" w:rsidRPr="00EB308B">
        <w:rPr>
          <w:rFonts w:ascii="Times New Roman" w:hAnsi="Times New Roman" w:cs="Times New Roman"/>
          <w:sz w:val="24"/>
          <w:szCs w:val="24"/>
        </w:rPr>
        <w:t>у којој се запошљав</w:t>
      </w:r>
      <w:r>
        <w:rPr>
          <w:rFonts w:ascii="Times New Roman" w:hAnsi="Times New Roman" w:cs="Times New Roman"/>
          <w:sz w:val="24"/>
          <w:szCs w:val="24"/>
        </w:rPr>
        <w:t>ају лица, мора бити регистрован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најмање три месеца пре датума подношења захтева</w:t>
      </w:r>
      <w:r w:rsidR="001979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7906" w:rsidRPr="00197906" w:rsidRDefault="00197906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Послодавац који подноси захтев за субвенцију мора бити регистрован на територији општине Житиште, или да има регистровану пословну једницу</w:t>
      </w:r>
      <w:r w:rsidR="00661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Житиште</w:t>
      </w:r>
      <w:r w:rsidR="00557FBA">
        <w:rPr>
          <w:rFonts w:ascii="Times New Roman" w:hAnsi="Times New Roman" w:cs="Times New Roman"/>
          <w:sz w:val="24"/>
          <w:szCs w:val="24"/>
          <w:lang w:val="sr-Cyrl-RS"/>
        </w:rPr>
        <w:t xml:space="preserve"> без обзира на делатност којом се 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Послодавац који је остварио право на субвенцију за отварање нових радних места дужан је да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 уговор о раду са незапосленим лицем</w:t>
      </w:r>
      <w:r w:rsidRPr="00EB308B">
        <w:rPr>
          <w:rFonts w:ascii="Times New Roman" w:hAnsi="Times New Roman" w:cs="Times New Roman"/>
          <w:sz w:val="24"/>
          <w:szCs w:val="24"/>
        </w:rPr>
        <w:t xml:space="preserve">, на неодређено време, са пуним радним временом, у трајању од најмање </w:t>
      </w:r>
      <w:r w:rsidR="00F87442" w:rsidRPr="00F87442">
        <w:rPr>
          <w:rFonts w:ascii="Times New Roman" w:hAnsi="Times New Roman" w:cs="Times New Roman"/>
          <w:b/>
          <w:sz w:val="24"/>
          <w:szCs w:val="24"/>
        </w:rPr>
        <w:t>12</w:t>
      </w:r>
      <w:r w:rsidR="00534087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месеци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sz w:val="24"/>
          <w:szCs w:val="24"/>
        </w:rPr>
        <w:t>од дана заснивања радног односа и да измирује обавезе по основу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sz w:val="24"/>
          <w:szCs w:val="24"/>
        </w:rPr>
        <w:t>доприноса за обавезно социјално осигурање, у складу са законом.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Право на субвенцију за отварање нових радних места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не могу</w:t>
      </w:r>
      <w:r w:rsidRPr="00EB308B">
        <w:rPr>
          <w:rFonts w:ascii="Times New Roman" w:hAnsi="Times New Roman" w:cs="Times New Roman"/>
          <w:sz w:val="24"/>
          <w:szCs w:val="24"/>
        </w:rPr>
        <w:t xml:space="preserve"> остварити: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државни органи, организације и други директни и индиректни корисници буџетск</w:t>
      </w:r>
      <w:r w:rsidR="00172A2C">
        <w:rPr>
          <w:rFonts w:ascii="Times New Roman" w:hAnsi="Times New Roman" w:cs="Times New Roman"/>
          <w:sz w:val="24"/>
          <w:szCs w:val="24"/>
        </w:rPr>
        <w:t>их средстава и удружења грађана</w:t>
      </w:r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подносиоци захтева који су користили субвенцију по јавном позиву за иста лица у току претходнe 3 годинe, рачунајући од дана одобравања средстава;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6619E1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послодавци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који нису успешно пословали 12 месеци након правоснажног решења о усвајању плана реорганизације и обустављању стечајног поступка или након куповине привредног субјекта над којим је правоснажним решењем окончан стечајни поступак. </w:t>
      </w:r>
    </w:p>
    <w:p w:rsidR="006619E1" w:rsidRPr="00EB308B" w:rsidRDefault="006619E1" w:rsidP="006619E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Послодавац коме се не одобри субвенција за отварање нових радних места не може поново поднети захтев по овом Јавном позиву.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Јавни позив за доделу субвенције за отварање нових радних места представља основ за доделу de minimis државне помоћи.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A66C6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Јавни позив је отворен</w:t>
      </w:r>
      <w:r w:rsidR="00A66C6B">
        <w:rPr>
          <w:rFonts w:ascii="Times New Roman" w:hAnsi="Times New Roman" w:cs="Times New Roman"/>
          <w:sz w:val="24"/>
          <w:szCs w:val="24"/>
        </w:rPr>
        <w:t xml:space="preserve"> 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>до утрошка средстава предвиђених за ову намену</w:t>
      </w:r>
      <w:r w:rsidR="00A66C6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sz w:val="24"/>
          <w:szCs w:val="24"/>
        </w:rPr>
        <w:t xml:space="preserve">од дана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 xml:space="preserve">објављивања 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34087" w:rsidRPr="00EB308B">
        <w:rPr>
          <w:rFonts w:ascii="Times New Roman" w:hAnsi="Times New Roman" w:cs="Times New Roman"/>
          <w:sz w:val="24"/>
          <w:szCs w:val="24"/>
        </w:rPr>
        <w:t xml:space="preserve"> сајту Општине Житиште и огласној та</w:t>
      </w:r>
      <w:r w:rsidR="00A66C6B">
        <w:rPr>
          <w:rFonts w:ascii="Times New Roman" w:hAnsi="Times New Roman" w:cs="Times New Roman"/>
          <w:sz w:val="24"/>
          <w:szCs w:val="24"/>
        </w:rPr>
        <w:t>бли Националне службе испостава</w:t>
      </w:r>
      <w:r w:rsidR="009F60A0">
        <w:rPr>
          <w:rFonts w:ascii="Times New Roman" w:hAnsi="Times New Roman" w:cs="Times New Roman"/>
          <w:sz w:val="24"/>
          <w:szCs w:val="24"/>
        </w:rPr>
        <w:t xml:space="preserve"> Житиште</w:t>
      </w:r>
      <w:r w:rsidR="00A66C6B">
        <w:rPr>
          <w:rFonts w:ascii="Times New Roman" w:hAnsi="Times New Roman" w:cs="Times New Roman"/>
          <w:sz w:val="24"/>
          <w:szCs w:val="24"/>
        </w:rPr>
        <w:t>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 ПОДНОШЕЊЕ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Услов</w:t>
      </w:r>
      <w:r w:rsidR="00534087" w:rsidRPr="00EB308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339CE" w:rsidRPr="00EB308B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Право на доделу субвенције за отварање нових радних места послодавац може остварити под условом: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запошљава лица са евиденције Националне службе </w:t>
      </w:r>
      <w:r w:rsidR="00A66C6B">
        <w:rPr>
          <w:rFonts w:ascii="Times New Roman" w:hAnsi="Times New Roman" w:cs="Times New Roman"/>
          <w:sz w:val="24"/>
          <w:szCs w:val="24"/>
        </w:rPr>
        <w:t>који се води на евиденц</w:t>
      </w:r>
      <w:r w:rsidR="00BE7E75">
        <w:rPr>
          <w:rFonts w:ascii="Times New Roman" w:hAnsi="Times New Roman" w:cs="Times New Roman"/>
          <w:sz w:val="24"/>
          <w:szCs w:val="24"/>
        </w:rPr>
        <w:t>ији у испостави Житиште</w:t>
      </w:r>
      <w:r w:rsidR="00243C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поднесе захтев са бизнис планом;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одржи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уредно измирује обавезе по основу доприноса за обавезно социјално осигурање за запослене, за последња три месеца која претходе месецу у коме је поднет захтев; </w:t>
      </w:r>
    </w:p>
    <w:p w:rsidR="00DE0011" w:rsidRPr="006C0DAE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успешно послује; </w:t>
      </w:r>
    </w:p>
    <w:p w:rsidR="006C0DAE" w:rsidRPr="00EB308B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да је измирио раније уговорне обавезе и измирио потраживања према Националној служби</w:t>
      </w:r>
      <w:r w:rsidR="00A66C6B">
        <w:rPr>
          <w:rFonts w:ascii="Times New Roman" w:hAnsi="Times New Roman" w:cs="Times New Roman"/>
          <w:sz w:val="24"/>
          <w:szCs w:val="24"/>
        </w:rPr>
        <w:t xml:space="preserve"> и 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, осим за обавезе чија је реализација у току;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 подносиоцем захтева;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 за подношење захтева: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захтев са бизнис планом на прописаном обрасцу;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фотокопија решења надл</w:t>
      </w:r>
      <w:r w:rsidR="009F60A0">
        <w:rPr>
          <w:rFonts w:ascii="Times New Roman" w:hAnsi="Times New Roman" w:cs="Times New Roman"/>
          <w:sz w:val="24"/>
          <w:szCs w:val="24"/>
        </w:rPr>
        <w:t>ежног органа о упису у регистар</w:t>
      </w:r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60A0" w:rsidRDefault="009F60A0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уверење Националне службе за незапослено </w:t>
      </w:r>
      <w:r w:rsidR="00BE7E75">
        <w:rPr>
          <w:rFonts w:ascii="Times New Roman" w:hAnsi="Times New Roman" w:cs="Times New Roman"/>
          <w:sz w:val="24"/>
          <w:szCs w:val="24"/>
        </w:rPr>
        <w:t>лице које се запошљава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C55" w:rsidRPr="006C0DAE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пријае поднете у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EF0F93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EF0F93" w:rsidRPr="009F60A0" w:rsidRDefault="00EF0F93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банке као доказ да су уплаћени доприноси за обавезно социјално осигурање, за пријаве поднете у 3 месеца која претходе месецу у коме је поднет захтев;</w:t>
      </w:r>
    </w:p>
    <w:p w:rsidR="00DE0011" w:rsidRPr="00EB308B" w:rsidRDefault="00EF0F93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подносилац захтева предузетник који нема запослене и паушално измирује обавезе, доставља Уверење Пореске управе о измиреним обевезама на име доприноса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обавезно социјално осигурање до месеца који претходи подношењу захтева;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потврда банке о промету на текућем рачуну подносиоца захтева за последња три месеца која претходе месецу у коме је поднет захтев; </w:t>
      </w: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писана изјава подносиоца захтева о свим другим de minimis државним помоћима које је добио у претходном трогодишњем фискалном периоду или изјава подносиоца захтева да није користио de minimis државну помоћ;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Општина Житиште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задржава право да тражи и друге доказе релевантне за одлучивање о захтеву подносиоца.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Начин подношења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Захтев са бизнис планом подноси се у два примерка, </w:t>
      </w:r>
      <w:r w:rsidR="00A16FFA">
        <w:rPr>
          <w:rFonts w:ascii="Times New Roman" w:hAnsi="Times New Roman" w:cs="Times New Roman"/>
          <w:sz w:val="24"/>
          <w:szCs w:val="24"/>
        </w:rPr>
        <w:t xml:space="preserve"> на писарници Општинске управе Житиште</w:t>
      </w:r>
      <w:r w:rsidRPr="00EB308B">
        <w:rPr>
          <w:rFonts w:ascii="Times New Roman" w:hAnsi="Times New Roman" w:cs="Times New Roman"/>
          <w:sz w:val="24"/>
          <w:szCs w:val="24"/>
        </w:rPr>
        <w:t>, непосредно или путем поште</w:t>
      </w:r>
      <w:r w:rsidR="00A16FFA">
        <w:rPr>
          <w:rFonts w:ascii="Times New Roman" w:hAnsi="Times New Roman" w:cs="Times New Roman"/>
          <w:sz w:val="24"/>
          <w:szCs w:val="24"/>
        </w:rPr>
        <w:t xml:space="preserve"> на адресу Оштина Житиште, Лолални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>
        <w:rPr>
          <w:rFonts w:ascii="Times New Roman" w:hAnsi="Times New Roman" w:cs="Times New Roman"/>
          <w:sz w:val="24"/>
          <w:szCs w:val="24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СУБВЕНИЦИЈЕ ПОСЛОДАВЦИМА“</w:t>
      </w:r>
      <w:r w:rsidRPr="00EB308B">
        <w:rPr>
          <w:rFonts w:ascii="Times New Roman" w:hAnsi="Times New Roman" w:cs="Times New Roman"/>
          <w:sz w:val="24"/>
          <w:szCs w:val="24"/>
        </w:rPr>
        <w:t>, на прописаном обрас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цу који се може добити у </w:t>
      </w:r>
      <w:r w:rsidRPr="00EB308B">
        <w:rPr>
          <w:rFonts w:ascii="Times New Roman" w:hAnsi="Times New Roman" w:cs="Times New Roman"/>
          <w:sz w:val="24"/>
          <w:szCs w:val="24"/>
        </w:rPr>
        <w:t>организационој јединици Национaлне службе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у Житишту,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534087" w:rsidRPr="00EB308B">
        <w:rPr>
          <w:rFonts w:ascii="Times New Roman" w:hAnsi="Times New Roman" w:cs="Times New Roman"/>
          <w:sz w:val="24"/>
          <w:szCs w:val="24"/>
        </w:rPr>
        <w:t>или са сајта Општине Житиште</w:t>
      </w:r>
      <w:r w:rsidR="00BE7E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www.zitiste.rs</w:t>
        </w:r>
      </w:hyperlink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 ДОНОШЕЊЕ ОДЛУКЕ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Одлука о додели субвенције за отварање нових радних места доноси</w:t>
      </w:r>
      <w:r w:rsidR="00A16FFA">
        <w:rPr>
          <w:rFonts w:ascii="Times New Roman" w:hAnsi="Times New Roman" w:cs="Times New Roman"/>
          <w:sz w:val="24"/>
          <w:szCs w:val="24"/>
        </w:rPr>
        <w:t xml:space="preserve"> се на основу провере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поднетог захтева са бизнис планом.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Провера поднетих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Локални савет за запошљавање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A16FFA" w:rsidRDefault="00DE0011" w:rsidP="00A16FF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Захтеви који не испуњавају услове предвиђене Јавним позивом неће се даље разматрати.</w:t>
      </w:r>
      <w:proofErr w:type="gramEnd"/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A2C" w:rsidRP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2A2C">
        <w:rPr>
          <w:rFonts w:ascii="Times New Roman" w:hAnsi="Times New Roman" w:cs="Times New Roman"/>
          <w:b/>
          <w:sz w:val="24"/>
          <w:szCs w:val="24"/>
          <w:lang w:val="sr-Cyrl-RS"/>
        </w:rPr>
        <w:t>Бодавње поднетих захтева са бизнис планом</w:t>
      </w:r>
    </w:p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32"/>
        <w:gridCol w:w="1633"/>
        <w:gridCol w:w="3266"/>
      </w:tblGrid>
      <w:tr w:rsidR="00550A6E" w:rsidRPr="006C0DAE" w:rsidTr="00A61308">
        <w:tc>
          <w:tcPr>
            <w:tcW w:w="9796" w:type="dxa"/>
            <w:gridSpan w:val="4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БОДОВНА ЛИСТА ЗА ДОДЕЛУ СУБВЕНЦИЈЕ ЗА ОТВАРАЊЕ НОВИХ РАДНИХ МЕСТА НА ТЕРИТОРИЈИ ОПШТИНЕ ЖИТИШТЕ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50A6E" w:rsidTr="00A735EB">
        <w:tc>
          <w:tcPr>
            <w:tcW w:w="6530" w:type="dxa"/>
            <w:gridSpan w:val="3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делатности послодавца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производно захатство и интелектуале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Услужно занатство, остале услужне делатности и грађевинарство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Хотели, ресторани и остале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Остало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дужина обављања делатности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једне до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374214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претходно коришћена средства по основу доделе субвенције за отврање радних места</w:t>
            </w:r>
          </w:p>
        </w:tc>
        <w:tc>
          <w:tcPr>
            <w:tcW w:w="1632" w:type="dxa"/>
            <w:vMerge w:val="restart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Процента запослених лица</w:t>
            </w: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51% запослених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Запослено до 50%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запослених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48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 који није раније користио средства Општине Житиште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72A2C" w:rsidTr="00484481">
        <w:tc>
          <w:tcPr>
            <w:tcW w:w="3265" w:type="dxa"/>
            <w:vAlign w:val="center"/>
          </w:tcPr>
          <w:p w:rsidR="00172A2C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за претходна 3 месеца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Пораст броја запослених из месеца у месц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показатељи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био у блокади у последњих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Блокада рачуна трајала од 15 дана у последњних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74214" w:rsidTr="00374214">
        <w:trPr>
          <w:trHeight w:val="246"/>
        </w:trPr>
        <w:tc>
          <w:tcPr>
            <w:tcW w:w="6530" w:type="dxa"/>
            <w:gridSpan w:val="3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МАКСИМАЛАН БРОЈ БОДОВА</w:t>
            </w: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214" w:rsidRPr="00374214" w:rsidRDefault="00374214" w:rsidP="0037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 Критеријум „Претходно коришћена средства по основу доделе субвенције за отварање нових радним места“ односи се а доделу субвенције за отварање нових радних места п</w:t>
      </w:r>
      <w:r w:rsidR="006C0DAE">
        <w:rPr>
          <w:rFonts w:ascii="Times New Roman" w:hAnsi="Times New Roman" w:cs="Times New Roman"/>
          <w:bCs/>
          <w:sz w:val="24"/>
          <w:szCs w:val="24"/>
          <w:lang w:val="sr-Cyrl-RS"/>
        </w:rPr>
        <w:t>о јавним позивима из 2011 – 201</w:t>
      </w:r>
      <w:r w:rsidR="00A649C1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.године које је организовала НСЗ и општина Житиште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 “Проценат запослених лица“ подразумева однос броја лица која су у периоду од 6 месеци након завршетка пеализације уговорне обевезе по основу доделе субвенције за отварање радних места засновала радни однос код истог или другог послодавца и броја лица која су била запослена по истом основу код подносиоца захтева. Наведени податци ће се проверити у информационом систему Националне службе.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*** „Ликвидност привредног субјекта“ се проверава на сајту Народне банке Србије у делу „Претраживање дужника у принудној наплати.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постоји већи број захтева са истим бројем бодова, </w:t>
      </w:r>
      <w:r w:rsidR="00557FBA">
        <w:rPr>
          <w:rFonts w:ascii="Times New Roman" w:hAnsi="Times New Roman" w:cs="Times New Roman"/>
          <w:bCs/>
          <w:sz w:val="24"/>
          <w:szCs w:val="24"/>
          <w:lang w:val="sr-Cyrl-RS"/>
        </w:rPr>
        <w:t>Локални савет за запошљавање може доделити максимално још 10 бодова на основу сопственог критеријума.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Приоритети за доделу субвенције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Приоритет при додели субвенције има послодавац који запошљава лице из категорије теже запошљивих, и то: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дугорочно незапослена лица, односно лица која су незапослена дуже од 12 месеци 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незапослени без квалификација или нискоквалификовани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вишак запослених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особе са инвалидитетом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Роми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избегла и расељена лица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повратници по споразуму о реадмисији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млади до 30 година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старији од 50 година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жене и рурално становништво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жртве породичног насиља и трговине људима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корисници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новчане социјалне помоћи.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Одлука о додели субвенције за отварање нових радних места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EB308B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EB308B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197906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Одлуку о додели субвенције послодавцима доноси Председник општине уз претходно мишљење</w:t>
      </w:r>
      <w:r w:rsidR="00197906">
        <w:rPr>
          <w:rFonts w:ascii="Times New Roman" w:hAnsi="Times New Roman" w:cs="Times New Roman"/>
          <w:sz w:val="24"/>
          <w:szCs w:val="24"/>
        </w:rPr>
        <w:t xml:space="preserve"> Локалног савета за запошљавање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 xml:space="preserve"> и то на сваких 7 дана од дана расписивања до утрошка средстава предвиђених за ову намену.</w:t>
      </w:r>
      <w:proofErr w:type="gramEnd"/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Одлука о додели субвенције послодавцима за отварање нових радних места објављује се на </w:t>
      </w:r>
      <w:r w:rsidR="00A16FFA">
        <w:rPr>
          <w:rFonts w:ascii="Times New Roman" w:hAnsi="Times New Roman" w:cs="Times New Roman"/>
          <w:sz w:val="24"/>
          <w:szCs w:val="24"/>
        </w:rPr>
        <w:t xml:space="preserve">огласној </w:t>
      </w:r>
      <w:proofErr w:type="gramStart"/>
      <w:r w:rsidR="00A16FFA">
        <w:rPr>
          <w:rFonts w:ascii="Times New Roman" w:hAnsi="Times New Roman" w:cs="Times New Roman"/>
          <w:sz w:val="24"/>
          <w:szCs w:val="24"/>
        </w:rPr>
        <w:t>табли  и</w:t>
      </w:r>
      <w:proofErr w:type="gramEnd"/>
      <w:r w:rsidR="00A16FFA">
        <w:rPr>
          <w:rFonts w:ascii="Times New Roman" w:hAnsi="Times New Roman" w:cs="Times New Roman"/>
          <w:sz w:val="24"/>
          <w:szCs w:val="24"/>
        </w:rPr>
        <w:t xml:space="preserve"> сајту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Општине Житиште</w:t>
      </w:r>
      <w:r w:rsidRPr="00EB308B">
        <w:rPr>
          <w:rFonts w:ascii="Times New Roman" w:hAnsi="Times New Roman" w:cs="Times New Roman"/>
          <w:sz w:val="24"/>
          <w:szCs w:val="24"/>
        </w:rPr>
        <w:t>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EB308B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Општина Житиште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задржава</w:t>
      </w:r>
      <w:r w:rsidR="005339CE">
        <w:rPr>
          <w:rFonts w:ascii="Times New Roman" w:hAnsi="Times New Roman" w:cs="Times New Roman"/>
          <w:sz w:val="24"/>
          <w:szCs w:val="24"/>
        </w:rPr>
        <w:t>ју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право да приликом одлуч</w:t>
      </w:r>
      <w:r w:rsidR="005339CE">
        <w:rPr>
          <w:rFonts w:ascii="Times New Roman" w:hAnsi="Times New Roman" w:cs="Times New Roman"/>
          <w:sz w:val="24"/>
          <w:szCs w:val="24"/>
        </w:rPr>
        <w:t>ивања по поднетом захтеву изврше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евентуално смањење предвиђеног броја лица из захтева са бизнис планом.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Захтеви који испуњавају услове Јавног позива, а нису обухваћени одлуком о додели субвенције за отварање нових радних места биће обавештени о коначном статусу њиховог захтева након истека јавног позива.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IV ЗАКЉУЧИВАЊЕ УГОВОРА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општине Житиште </w:t>
      </w:r>
      <w:r w:rsidR="00DE0011" w:rsidRPr="00EB308B">
        <w:rPr>
          <w:rFonts w:ascii="Times New Roman" w:hAnsi="Times New Roman" w:cs="Times New Roman"/>
          <w:sz w:val="24"/>
          <w:szCs w:val="24"/>
        </w:rPr>
        <w:t>и подносилац захтева, у року до 30 дана од дана доношења одлуке о одобравању субвенције,</w:t>
      </w:r>
      <w:r w:rsidR="00DE0011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011" w:rsidRPr="00EB308B">
        <w:rPr>
          <w:rFonts w:ascii="Times New Roman" w:hAnsi="Times New Roman" w:cs="Times New Roman"/>
          <w:sz w:val="24"/>
          <w:szCs w:val="24"/>
        </w:rPr>
        <w:t>закључују уговор којим се уређују међусобна права и</w:t>
      </w:r>
      <w:r w:rsidR="00DE0011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011" w:rsidRPr="00EB308B">
        <w:rPr>
          <w:rFonts w:ascii="Times New Roman" w:hAnsi="Times New Roman" w:cs="Times New Roman"/>
          <w:sz w:val="24"/>
          <w:szCs w:val="24"/>
        </w:rPr>
        <w:t>обавезе и на основу кога се врши исплата субвенције.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 за закључивање уговора: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3F15E0" w:rsidRDefault="00DE0011" w:rsidP="003F15E0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доказ о заснивању радног односа на неодређено време за лица која се запошљавају (уговор о раду и пријава на обавезно социјално осигурање); </w:t>
      </w:r>
    </w:p>
    <w:p w:rsidR="00DE0011" w:rsidRPr="00EB308B" w:rsidRDefault="00DE0011" w:rsidP="00B3089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датум заснивања радног односа не сме да буде пре датума </w:t>
      </w:r>
      <w:r w:rsidR="005339CE">
        <w:rPr>
          <w:rFonts w:ascii="Times New Roman" w:hAnsi="Times New Roman" w:cs="Times New Roman"/>
          <w:sz w:val="24"/>
          <w:szCs w:val="24"/>
        </w:rPr>
        <w:t>доношења одлуке о додели средстава</w:t>
      </w:r>
      <w:r w:rsidRPr="00EB308B">
        <w:rPr>
          <w:rFonts w:ascii="Times New Roman" w:hAnsi="Times New Roman" w:cs="Times New Roman"/>
          <w:sz w:val="24"/>
          <w:szCs w:val="24"/>
        </w:rPr>
        <w:t>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2666BA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средства обезбеђења уговорних обавеза; </w:t>
      </w:r>
    </w:p>
    <w:p w:rsidR="002666BA" w:rsidRPr="002666BA" w:rsidRDefault="002666BA" w:rsidP="00266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A" w:rsidRPr="00EB308B" w:rsidRDefault="002666BA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прано лице);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фотокопија картона депонованих потписа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писани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пристанак корисника средстава и жиранта за прикупљање и обраду података о </w:t>
      </w:r>
      <w:r w:rsidRPr="00EB308B">
        <w:rPr>
          <w:rFonts w:ascii="Times New Roman" w:hAnsi="Times New Roman" w:cs="Times New Roman"/>
          <w:sz w:val="24"/>
          <w:szCs w:val="24"/>
        </w:rPr>
        <w:lastRenderedPageBreak/>
        <w:t>личности</w:t>
      </w:r>
      <w:r w:rsidR="002666BA">
        <w:rPr>
          <w:rFonts w:ascii="Times New Roman" w:hAnsi="Times New Roman" w:cs="Times New Roman"/>
          <w:sz w:val="24"/>
          <w:szCs w:val="24"/>
          <w:lang w:val="sr-Cyrl-RS"/>
        </w:rPr>
        <w:t>, фотокопија/очитана лична карта корисника средстава/жиранта</w:t>
      </w:r>
      <w:r w:rsidRPr="00EB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Средства обезбеђења су следећа</w:t>
      </w:r>
      <w:r w:rsidRPr="00EB308B">
        <w:rPr>
          <w:rFonts w:ascii="Times New Roman" w:hAnsi="Times New Roman" w:cs="Times New Roman"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ПРЕДУЗЕТНИКА: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93" w:rsidRPr="005A6FB2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00.000,00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динара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 w:rsidR="005A6FB2">
        <w:rPr>
          <w:rFonts w:ascii="Times New Roman" w:hAnsi="Times New Roman" w:cs="Times New Roman"/>
          <w:sz w:val="24"/>
          <w:szCs w:val="24"/>
          <w:lang w:val="sr-Cyrl-RS"/>
        </w:rPr>
        <w:t>једним жирантом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, меничне изјаве жираната и менично овлашчење;</w:t>
      </w:r>
    </w:p>
    <w:p w:rsidR="005A6FB2" w:rsidRPr="005A6FB2" w:rsidRDefault="005A6FB2" w:rsidP="005A6FB2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F87442">
        <w:rPr>
          <w:rFonts w:ascii="Times New Roman" w:hAnsi="Times New Roman" w:cs="Times New Roman"/>
          <w:b/>
          <w:sz w:val="24"/>
          <w:szCs w:val="24"/>
          <w:lang w:val="sr-Latn-RS"/>
        </w:rPr>
        <w:t>1.0</w:t>
      </w:r>
      <w:r w:rsidRPr="005A6FB2">
        <w:rPr>
          <w:rFonts w:ascii="Times New Roman" w:hAnsi="Times New Roman" w:cs="Times New Roman"/>
          <w:b/>
          <w:sz w:val="24"/>
          <w:szCs w:val="24"/>
          <w:lang w:val="sr-Cyrl-RS"/>
        </w:rPr>
        <w:t>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динара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раната, меничне изјаве жираната и менично овлашчење;</w:t>
      </w:r>
    </w:p>
    <w:p w:rsidR="00230AEE" w:rsidRPr="00230AEE" w:rsidRDefault="00EF0F93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одобрена средства у износу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1.0</w:t>
      </w:r>
      <w:r>
        <w:rPr>
          <w:rFonts w:ascii="Times New Roman" w:hAnsi="Times New Roman" w:cs="Times New Roman"/>
          <w:sz w:val="24"/>
          <w:szCs w:val="24"/>
          <w:lang w:val="sr-Cyrl-RS"/>
        </w:rPr>
        <w:t>00.001,00 динара и више –</w:t>
      </w:r>
      <w:r w:rsidR="00230AEE" w:rsidRPr="00230AEE">
        <w:rPr>
          <w:rFonts w:ascii="Times New Roman" w:hAnsi="Times New Roman" w:cs="Times New Roman"/>
          <w:sz w:val="24"/>
          <w:szCs w:val="24"/>
        </w:rPr>
        <w:t xml:space="preserve"> </w:t>
      </w:r>
      <w:r w:rsidR="00230AEE" w:rsidRPr="00EB308B">
        <w:rPr>
          <w:rFonts w:ascii="Times New Roman" w:hAnsi="Times New Roman" w:cs="Times New Roman"/>
          <w:sz w:val="24"/>
          <w:szCs w:val="24"/>
        </w:rPr>
        <w:t xml:space="preserve">две истоветне бланко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="00230AEE"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230AEE">
        <w:rPr>
          <w:rFonts w:ascii="Times New Roman" w:hAnsi="Times New Roman" w:cs="Times New Roman"/>
          <w:sz w:val="24"/>
          <w:szCs w:val="24"/>
        </w:rPr>
        <w:t xml:space="preserve"> жи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раната, меничне изјаве жираната и менично овлашчење и </w:t>
      </w:r>
      <w:r w:rsidR="00230AEE" w:rsidRPr="00230AEE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0011" w:rsidRPr="00230AEE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F0F93" w:rsidRPr="00230AEE">
        <w:rPr>
          <w:rFonts w:ascii="Times New Roman" w:hAnsi="Times New Roman" w:cs="Times New Roman"/>
          <w:sz w:val="24"/>
          <w:szCs w:val="24"/>
          <w:lang w:val="sr-Cyrl-RS"/>
        </w:rPr>
        <w:t>ранација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230AEE" w:rsidRPr="00962DA5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 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ПРАВНО ЛИЦЕ: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00.000,00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динара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соло менице са меничним овлашћењима; </w:t>
      </w:r>
    </w:p>
    <w:p w:rsidR="00962DA5" w:rsidRPr="00962DA5" w:rsidRDefault="00DE0011" w:rsidP="00EF0F93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0F93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EF0F93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>00.001,00</w:t>
      </w:r>
      <w:r w:rsidRPr="00EF0F93">
        <w:rPr>
          <w:rFonts w:ascii="Times New Roman" w:hAnsi="Times New Roman" w:cs="Times New Roman"/>
          <w:sz w:val="24"/>
          <w:szCs w:val="24"/>
        </w:rPr>
        <w:t xml:space="preserve"> 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 xml:space="preserve">динара </w:t>
      </w:r>
      <w:r w:rsidR="00EF0F93" w:rsidRPr="00EF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више</w:t>
      </w:r>
      <w:r w:rsidRPr="00EF0F93">
        <w:rPr>
          <w:rFonts w:ascii="Times New Roman" w:hAnsi="Times New Roman" w:cs="Times New Roman"/>
          <w:sz w:val="24"/>
          <w:szCs w:val="24"/>
        </w:rPr>
        <w:t xml:space="preserve"> - </w:t>
      </w:r>
      <w:r w:rsidR="00962DA5" w:rsidRPr="00EB308B">
        <w:rPr>
          <w:rFonts w:ascii="Times New Roman" w:hAnsi="Times New Roman" w:cs="Times New Roman"/>
          <w:sz w:val="24"/>
          <w:szCs w:val="24"/>
        </w:rPr>
        <w:t>две истоветне бланко соло менице са меничним овлашћењима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="00962DA5" w:rsidRPr="00962DA5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F0F93" w:rsidRPr="00962DA5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F0F93" w:rsidRPr="00962DA5">
        <w:rPr>
          <w:rFonts w:ascii="Times New Roman" w:hAnsi="Times New Roman" w:cs="Times New Roman"/>
          <w:sz w:val="24"/>
          <w:szCs w:val="24"/>
          <w:lang w:val="sr-Cyrl-RS"/>
        </w:rPr>
        <w:t>ранација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962DA5" w:rsidRPr="00962DA5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Жирант може бити свако </w:t>
      </w:r>
      <w:r w:rsidR="00197906">
        <w:rPr>
          <w:rFonts w:ascii="Times New Roman" w:hAnsi="Times New Roman" w:cs="Times New Roman"/>
          <w:sz w:val="24"/>
          <w:szCs w:val="24"/>
        </w:rPr>
        <w:t>пословно способно физичко лице</w:t>
      </w:r>
      <w:r w:rsidRPr="00EB308B">
        <w:rPr>
          <w:rFonts w:ascii="Times New Roman" w:hAnsi="Times New Roman" w:cs="Times New Roman"/>
          <w:sz w:val="24"/>
          <w:szCs w:val="24"/>
        </w:rPr>
        <w:t>, које има редовна месечна примања на име зараде или пензије, независно од висине примања, као и физичко лице које самостално обавља делатност (предузетник)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односо лице које самостално обавља делатности у складу са посебним законом (нпр. адвокат, нотар, приватни извршитењ и сл.) 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- корисник субвенције 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дужан је да: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40" w:hanging="3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- лица за која је остварио право на субвенцију задржи у радном односу на неодређено време, са пуним радним в</w:t>
      </w:r>
      <w:r w:rsidR="00EB308B"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ременом, у трајању од најмање </w:t>
      </w:r>
      <w:r w:rsidR="00F87442" w:rsidRPr="006C0DA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 месеца од дана заснивања радног односа; у случају престанка радног односа са лицем за које је оств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рено право, послодавац је у обавези да у року од 30 дана од дана престанка радног односа заснује радни однос на неодређено време са другим незапосленим и да то лице задржи у радном односу најмање до истека уговором предивиђеног рока увећаног за период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A72FD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D7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извршена замена; </w:t>
      </w:r>
    </w:p>
    <w:p w:rsidR="00DE0011" w:rsidRPr="00A72FD7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измирује обавезе по основу доприноса за обавезно социјално осигурање, у складу са законом;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5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делатност у периоду реализације уговорне обавезе обавља на територији општине на </w:t>
      </w:r>
      <w:r w:rsidRPr="00EB308B">
        <w:rPr>
          <w:rFonts w:ascii="Times New Roman" w:hAnsi="Times New Roman" w:cs="Times New Roman"/>
          <w:sz w:val="24"/>
          <w:szCs w:val="24"/>
        </w:rPr>
        <w:lastRenderedPageBreak/>
        <w:t xml:space="preserve">којој је остварио право на субвенцију; </w:t>
      </w: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омогући </w:t>
      </w:r>
      <w:r w:rsidR="00A16FFA">
        <w:rPr>
          <w:rFonts w:ascii="Times New Roman" w:hAnsi="Times New Roman" w:cs="Times New Roman"/>
          <w:sz w:val="24"/>
          <w:szCs w:val="24"/>
        </w:rPr>
        <w:t>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праћење реализације уговорне обавезе;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достави </w:t>
      </w:r>
      <w:r w:rsidR="00A16FFA">
        <w:rPr>
          <w:rFonts w:ascii="Times New Roman" w:hAnsi="Times New Roman" w:cs="Times New Roman"/>
          <w:sz w:val="24"/>
          <w:szCs w:val="24"/>
        </w:rPr>
        <w:t>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доказe о реализацији уговорне обавезе;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обавести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A16FFA">
        <w:rPr>
          <w:rFonts w:ascii="Times New Roman" w:hAnsi="Times New Roman" w:cs="Times New Roman"/>
          <w:sz w:val="24"/>
          <w:szCs w:val="24"/>
        </w:rPr>
        <w:t>Општину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о свим променама које су од значаја за реализацију уговора, у року од 8 дана од дана настанка промене.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 xml:space="preserve">Послодавац - корисник субвенције који не испуни обавезе утврђене уговором, дужан је да </w:t>
      </w:r>
      <w:r w:rsidR="00EB308B" w:rsidRPr="00EB308B">
        <w:rPr>
          <w:rFonts w:ascii="Times New Roman" w:hAnsi="Times New Roman" w:cs="Times New Roman"/>
          <w:sz w:val="24"/>
          <w:szCs w:val="24"/>
        </w:rPr>
        <w:t>и 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врати износ исплаћене субвенције, сразмерно проценту реализације уговорне обавезе, увећане за законску затезну камату од датума преноса средстава.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VI ОСТАЛЕ ИНФОРМАЦИЈЕ</w:t>
      </w:r>
    </w:p>
    <w:p w:rsidR="00EB308B" w:rsidRPr="00EB308B" w:rsidRDefault="00EB308B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2666BA" w:rsidRDefault="00EB308B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DE0011" w:rsidRPr="002666BA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 w:rsidRPr="00EB308B">
        <w:rPr>
          <w:rFonts w:ascii="Times New Roman" w:hAnsi="Times New Roman" w:cs="Times New Roman"/>
          <w:bCs/>
          <w:sz w:val="24"/>
          <w:szCs w:val="24"/>
        </w:rPr>
        <w:t>Информације о програму могу се добити у организационој јединицу Националне службе у</w:t>
      </w:r>
      <w:r w:rsidR="002C0BE2">
        <w:rPr>
          <w:rFonts w:ascii="Times New Roman" w:hAnsi="Times New Roman" w:cs="Times New Roman"/>
          <w:bCs/>
          <w:sz w:val="24"/>
          <w:szCs w:val="24"/>
        </w:rPr>
        <w:t xml:space="preserve"> Житишту, на телефон</w:t>
      </w:r>
      <w:r w:rsidRPr="00EB308B">
        <w:rPr>
          <w:rFonts w:ascii="Times New Roman" w:hAnsi="Times New Roman" w:cs="Times New Roman"/>
          <w:bCs/>
          <w:sz w:val="24"/>
          <w:szCs w:val="24"/>
        </w:rPr>
        <w:t>: 821-</w:t>
      </w:r>
      <w:proofErr w:type="gramStart"/>
      <w:r w:rsidRPr="00EB308B">
        <w:rPr>
          <w:rFonts w:ascii="Times New Roman" w:hAnsi="Times New Roman" w:cs="Times New Roman"/>
          <w:bCs/>
          <w:sz w:val="24"/>
          <w:szCs w:val="24"/>
        </w:rPr>
        <w:t>044</w:t>
      </w:r>
      <w:r w:rsidR="001979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</w:t>
      </w:r>
      <w:proofErr w:type="gramEnd"/>
      <w:r w:rsidR="001979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B308B">
        <w:rPr>
          <w:rFonts w:ascii="Times New Roman" w:hAnsi="Times New Roman" w:cs="Times New Roman"/>
          <w:bCs/>
          <w:sz w:val="24"/>
          <w:szCs w:val="24"/>
        </w:rPr>
        <w:t>на сајту Општине Житиште</w:t>
      </w:r>
      <w:r w:rsidR="002C0BE2">
        <w:rPr>
          <w:rFonts w:ascii="Times New Roman" w:hAnsi="Times New Roman" w:cs="Times New Roman"/>
          <w:bCs/>
          <w:sz w:val="24"/>
          <w:szCs w:val="24"/>
        </w:rPr>
        <w:t xml:space="preserve"> или на телефон: 821-306</w:t>
      </w:r>
      <w:r w:rsidR="002666B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3747A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1C7506" wp14:editId="3FC25912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 w:rsidR="003747A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DDFE4FA" wp14:editId="316011B4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 w:rsidR="003747AC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D93F9C9" wp14:editId="40E2743A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 w:rsidR="003747AC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A91B79A" wp14:editId="533D6350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  <w:r w:rsidR="003747AC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92570B9" wp14:editId="3C624FDC">
                <wp:simplePos x="0" y="0"/>
                <wp:positionH relativeFrom="column">
                  <wp:posOffset>73025</wp:posOffset>
                </wp:positionH>
                <wp:positionV relativeFrom="paragraph">
                  <wp:posOffset>-1942465</wp:posOffset>
                </wp:positionV>
                <wp:extent cx="865505" cy="164465"/>
                <wp:effectExtent l="0" t="0" r="4445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44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.75pt;margin-top:-152.95pt;width:68.15pt;height:1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" o:allowincell="f" fillcolor="#e5e5e5" stroked="f"/>
            </w:pict>
          </mc:Fallback>
        </mc:AlternateContent>
      </w:r>
    </w:p>
    <w:p w:rsidR="00DE0011" w:rsidRPr="002666BA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E0011" w:rsidRPr="002666BA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D2" w:rsidRDefault="00F514D2" w:rsidP="00F514D2">
      <w:pPr>
        <w:spacing w:after="0" w:line="240" w:lineRule="auto"/>
      </w:pPr>
      <w:r>
        <w:separator/>
      </w:r>
    </w:p>
  </w:endnote>
  <w:endnote w:type="continuationSeparator" w:id="0">
    <w:p w:rsidR="00F514D2" w:rsidRDefault="00F514D2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D2" w:rsidRDefault="00F514D2" w:rsidP="00F514D2">
      <w:pPr>
        <w:spacing w:after="0" w:line="240" w:lineRule="auto"/>
      </w:pPr>
      <w:r>
        <w:separator/>
      </w:r>
    </w:p>
  </w:footnote>
  <w:footnote w:type="continuationSeparator" w:id="0">
    <w:p w:rsidR="00F514D2" w:rsidRDefault="00F514D2" w:rsidP="00F5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827D3"/>
    <w:rsid w:val="00162958"/>
    <w:rsid w:val="00172A2C"/>
    <w:rsid w:val="00197906"/>
    <w:rsid w:val="00230AEE"/>
    <w:rsid w:val="00243C4F"/>
    <w:rsid w:val="002666BA"/>
    <w:rsid w:val="002C0BE2"/>
    <w:rsid w:val="0033563B"/>
    <w:rsid w:val="00374214"/>
    <w:rsid w:val="003747AC"/>
    <w:rsid w:val="003F15E0"/>
    <w:rsid w:val="00484481"/>
    <w:rsid w:val="0048581A"/>
    <w:rsid w:val="005339CE"/>
    <w:rsid w:val="00534087"/>
    <w:rsid w:val="00550A6E"/>
    <w:rsid w:val="00557FBA"/>
    <w:rsid w:val="005A6FB2"/>
    <w:rsid w:val="006619E1"/>
    <w:rsid w:val="006C0DAE"/>
    <w:rsid w:val="00820C55"/>
    <w:rsid w:val="008E64D2"/>
    <w:rsid w:val="00962DA5"/>
    <w:rsid w:val="009F60A0"/>
    <w:rsid w:val="00A16FFA"/>
    <w:rsid w:val="00A25358"/>
    <w:rsid w:val="00A649C1"/>
    <w:rsid w:val="00A66C6B"/>
    <w:rsid w:val="00A72FD7"/>
    <w:rsid w:val="00B30893"/>
    <w:rsid w:val="00B71125"/>
    <w:rsid w:val="00B86F52"/>
    <w:rsid w:val="00BE42F3"/>
    <w:rsid w:val="00BE7E75"/>
    <w:rsid w:val="00BF64DA"/>
    <w:rsid w:val="00CA0BDF"/>
    <w:rsid w:val="00D0086F"/>
    <w:rsid w:val="00D11D6C"/>
    <w:rsid w:val="00D765F8"/>
    <w:rsid w:val="00DC0A61"/>
    <w:rsid w:val="00DE0011"/>
    <w:rsid w:val="00EB308B"/>
    <w:rsid w:val="00EF0F93"/>
    <w:rsid w:val="00F514D2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tist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A4C6-D8A6-46DB-B0C7-DF1E100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1949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Dejan Melar</cp:lastModifiedBy>
  <cp:revision>12</cp:revision>
  <cp:lastPrinted>2016-02-02T11:45:00Z</cp:lastPrinted>
  <dcterms:created xsi:type="dcterms:W3CDTF">2017-12-11T07:08:00Z</dcterms:created>
  <dcterms:modified xsi:type="dcterms:W3CDTF">2018-07-13T11:58:00Z</dcterms:modified>
</cp:coreProperties>
</file>